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2513F" w:rsidRPr="00ED2FF3" w:rsidTr="009251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2513F" w:rsidRPr="00ED2FF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2513F" w:rsidRPr="00ED2FF3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92513F" w:rsidRPr="00ED2FF3" w:rsidRDefault="0092513F">
                        <w:pPr>
                          <w:spacing w:line="15" w:lineRule="atLeast"/>
                          <w:rPr>
                            <w:rFonts w:cstheme="minorHAnsi"/>
                            <w:sz w:val="2"/>
                            <w:szCs w:val="2"/>
                          </w:rPr>
                        </w:pPr>
                        <w:r w:rsidRPr="00ED2FF3">
                          <w:rPr>
                            <w:rFonts w:cstheme="minorHAnsi"/>
                            <w:noProof/>
                            <w:sz w:val="2"/>
                            <w:szCs w:val="2"/>
                            <w:lang w:eastAsia="en-GB"/>
                          </w:rPr>
                          <w:drawing>
                            <wp:inline distT="0" distB="0" distL="0" distR="0" wp14:anchorId="16244438" wp14:editId="0859D830">
                              <wp:extent cx="5715000" cy="1417320"/>
                              <wp:effectExtent l="0" t="0" r="0" b="0"/>
                              <wp:docPr id="5" name="Picture 5" descr="https://i.emlfiles4.com/cmpimg/4/5/4/5/8/files/3638212_clinicalaler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i.emlfiles4.com/cmpimg/4/5/4/5/8/files/3638212_clinicalaler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417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2513F" w:rsidRPr="00ED2FF3" w:rsidRDefault="0092513F">
                  <w:pPr>
                    <w:rPr>
                      <w:rFonts w:cstheme="minorHAnsi"/>
                      <w:vanish/>
                    </w:rPr>
                  </w:pPr>
                </w:p>
                <w:tbl>
                  <w:tblPr>
                    <w:tblW w:w="91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2513F" w:rsidRPr="00ED2FF3" w:rsidTr="00ED2FF3">
                    <w:trPr>
                      <w:trHeight w:val="11235"/>
                      <w:tblCellSpacing w:w="0" w:type="dxa"/>
                    </w:trPr>
                    <w:tc>
                      <w:tcPr>
                        <w:tcW w:w="9135" w:type="dxa"/>
                        <w:tcMar>
                          <w:top w:w="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4992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26"/>
                        </w:tblGrid>
                        <w:tr w:rsidR="0092513F" w:rsidRPr="00ED2FF3" w:rsidTr="00ED2FF3">
                          <w:trPr>
                            <w:trHeight w:val="10689"/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822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26"/>
                              </w:tblGrid>
                              <w:tr w:rsidR="0092513F" w:rsidRPr="00ED2FF3" w:rsidTr="00ED2FF3">
                                <w:trPr>
                                  <w:trHeight w:val="9960"/>
                                  <w:tblCellSpacing w:w="0" w:type="dxa"/>
                                </w:trPr>
                                <w:tc>
                                  <w:tcPr>
                                    <w:tcW w:w="8222" w:type="dxa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:rsidR="0092513F" w:rsidRPr="00ED2FF3" w:rsidRDefault="00ED2FF3" w:rsidP="0092513F">
                                    <w:pPr>
                                      <w:pStyle w:val="NormalWeb"/>
                                      <w:spacing w:before="0" w:beforeAutospacing="0" w:after="40" w:afterAutospacing="0"/>
                                      <w:ind w:right="51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ED2FF3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Alert No: 35</w:t>
                                    </w:r>
                                    <w:r w:rsidR="0092513F" w:rsidRPr="00ED2FF3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                                </w:t>
                                    </w:r>
                                    <w:r w:rsidRPr="00ED2FF3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Date: 27</w:t>
                                    </w:r>
                                    <w:r w:rsidR="0092513F" w:rsidRPr="00ED2FF3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ED2FF3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November 2018</w:t>
                                    </w:r>
                                  </w:p>
                                  <w:p w:rsidR="00ED2FF3" w:rsidRPr="00ED2FF3" w:rsidRDefault="00ED2FF3" w:rsidP="0092513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Theme="minorHAnsi" w:hAnsiTheme="minorHAnsi" w:cstheme="minorHAnsi"/>
                                        <w:color w:val="FF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4998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43"/>
                                    </w:tblGrid>
                                    <w:tr w:rsidR="00ED2FF3" w:rsidRPr="00ED2FF3" w:rsidTr="00ED2FF3">
                                      <w:trPr>
                                        <w:trHeight w:val="36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:rsidR="00ED2FF3" w:rsidRPr="00ED2FF3" w:rsidRDefault="00ED2FF3" w:rsidP="00ED2FF3">
                                          <w:pPr>
                                            <w:pStyle w:val="NormalWeb"/>
                                            <w:spacing w:before="0" w:beforeAutospacing="0" w:after="0" w:afterAutospacing="0" w:line="360" w:lineRule="atLeast"/>
                                            <w:rPr>
                                              <w:rFonts w:asciiTheme="minorHAnsi" w:hAnsiTheme="minorHAnsi" w:cstheme="minorHAnsi"/>
                                              <w:color w:val="333333"/>
                                            </w:rPr>
                                          </w:pP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bCs/>
                                              <w:color w:val="212121"/>
                                              <w:sz w:val="27"/>
                                              <w:szCs w:val="27"/>
                                            </w:rPr>
                                            <w:t>RISK OF CLOZAPINE OVERDOSE (clozapine liquid)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D2FF3" w:rsidRPr="00ED2FF3" w:rsidRDefault="00ED2FF3" w:rsidP="00ED2FF3">
                                    <w:pPr>
                                      <w:rPr>
                                        <w:rFonts w:eastAsia="Times New Roman" w:cstheme="minorHAnsi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4998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46"/>
                                    </w:tblGrid>
                                    <w:tr w:rsidR="00ED2FF3" w:rsidRPr="00ED2FF3" w:rsidTr="00ED2FF3">
                                      <w:trPr>
                                        <w:trHeight w:val="829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90" w:type="dxa"/>
                                            <w:left w:w="90" w:type="dxa"/>
                                            <w:bottom w:w="90" w:type="dxa"/>
                                            <w:right w:w="90" w:type="dxa"/>
                                          </w:tcMar>
                                        </w:tcPr>
                                        <w:p w:rsidR="006F1C9A" w:rsidRDefault="00ED2FF3">
                                          <w:pPr>
                                            <w:pStyle w:val="NormalWeb"/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E5341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Clozapine liquid supplied by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 St Georges University Hospital NHS Foundation Trust has change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d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 the formulation of clozapine liquid.  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bCs/>
                                              <w:color w:val="E5341A"/>
                                            </w:rPr>
                                            <w:t xml:space="preserve">The new strength of Clozapine liquid is now 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bCs/>
                                              <w:color w:val="E5341A"/>
                                            </w:rPr>
                                            <w:t>50mg/ml.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E5341A"/>
                                            </w:rPr>
                                            <w:t>  </w:t>
                                          </w:r>
                                        </w:p>
                                        <w:p w:rsidR="006F1C9A" w:rsidRDefault="006F1C9A">
                                          <w:pPr>
                                            <w:pStyle w:val="NormalWeb"/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E5341A"/>
                                            </w:rPr>
                                          </w:pPr>
                                        </w:p>
                                        <w:p w:rsidR="00ED2FF3" w:rsidRDefault="00ED2FF3">
                                          <w:pPr>
                                            <w:pStyle w:val="NormalWeb"/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</w:pP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This product is for all patients currently monitored by ZTAS. Patients who take </w:t>
                                          </w:r>
                                          <w:proofErr w:type="spellStart"/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Denzapine</w:t>
                                          </w:r>
                                          <w:proofErr w:type="spellEnd"/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 liquid are not affected by this change.  </w:t>
                                          </w:r>
                                        </w:p>
                                        <w:p w:rsidR="006F1C9A" w:rsidRPr="00ED2FF3" w:rsidRDefault="006F1C9A">
                                          <w:pPr>
                                            <w:pStyle w:val="NormalWeb"/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ED2FF3" w:rsidRDefault="00ED2FF3">
                                          <w:pPr>
                                            <w:pStyle w:val="NormalWeb"/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This is a change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bCs/>
                                            </w:rPr>
                                            <w:t xml:space="preserve"> from 100mg/5ml (20mg/ml)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bCs/>
                                            </w:rPr>
                                            <w:t>, and will result in a change to t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he volume of liquid (ml) that the patient is required to take to achieve the 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same dose (mg)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  The volume required will be LESS than before.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  </w:t>
                                          </w:r>
                                        </w:p>
                                        <w:p w:rsidR="006F1C9A" w:rsidRPr="00ED2FF3" w:rsidRDefault="006F1C9A">
                                          <w:pPr>
                                            <w:pStyle w:val="NormalWeb"/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ED2FF3" w:rsidRPr="00ED2FF3" w:rsidRDefault="00ED2FF3">
                                          <w:pPr>
                                            <w:pStyle w:val="NormalWeb"/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Actions:</w:t>
                                          </w:r>
                                        </w:p>
                                        <w:p w:rsidR="00ED2FF3" w:rsidRPr="001579C6" w:rsidRDefault="00ED2FF3" w:rsidP="00ED2FF3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bCs/>
                                              <w:color w:val="000000"/>
                                            </w:rPr>
                                            <w:t>Consultants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:  </w:t>
                                          </w:r>
                                          <w:r w:rsidR="001579C6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Ensure</w:t>
                                          </w:r>
                                          <w:r w:rsidR="006F1C9A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patients </w:t>
                                          </w:r>
                                          <w:r w:rsidR="006F1C9A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prescribed clozapine liquid are 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aware that their dose remains the same but the volume of liquid that they consume will change.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  <w:r w:rsidR="006F1C9A" w:rsidRPr="001579C6"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  <w:t>Include carers and supported accommodation staff in discussion</w:t>
                                          </w:r>
                                          <w:r w:rsidR="001579C6" w:rsidRPr="001579C6"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  <w:t xml:space="preserve"> and </w:t>
                                          </w:r>
                                          <w:r w:rsidR="001579C6"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  <w:t>explore whether</w:t>
                                          </w:r>
                                          <w:r w:rsidR="001579C6" w:rsidRPr="001579C6"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  <w:t xml:space="preserve"> Medicines Administration Record (MAR) charts </w:t>
                                          </w:r>
                                          <w:r w:rsidR="001579C6"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  <w:t>in use at the home need to be</w:t>
                                          </w:r>
                                          <w:r w:rsidR="001579C6" w:rsidRPr="001579C6"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  <w:t xml:space="preserve"> adjusted</w:t>
                                          </w:r>
                                          <w:r w:rsidR="006F1C9A" w:rsidRPr="001579C6"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  <w:t>.</w:t>
                                          </w:r>
                                        </w:p>
                                        <w:p w:rsidR="00ED2FF3" w:rsidRDefault="00ED2FF3" w:rsidP="00ED2FF3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</w:pP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bCs/>
                                              <w:color w:val="000000"/>
                                            </w:rPr>
                                            <w:t>Nurses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:  Nurses administering clozapine liquid to inpatients will need to ensure careful calcula</w:t>
                                          </w:r>
                                          <w:bookmarkStart w:id="0" w:name="_GoBack"/>
                                          <w:bookmarkEnd w:id="0"/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tion of the volume of liquid needed, in order to administer the prescribed dose.  Please speak to your ward pharmacist or the on-call pharmacist if you are unsure.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1579C6" w:rsidRPr="001579C6" w:rsidRDefault="00ED2FF3" w:rsidP="00ED2FF3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</w:pP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bCs/>
                                              <w:color w:val="000000"/>
                                            </w:rPr>
                                            <w:t>Clozapine clinic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: T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he volume to take will be clearly stated on the label.   </w:t>
                                          </w:r>
                                          <w:r w:rsidR="001579C6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E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nsure they explain the </w:t>
                                          </w:r>
                                          <w:r w:rsidR="001579C6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change in volume to patients.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  <w:r w:rsidR="001579C6" w:rsidRPr="001579C6"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  <w:t xml:space="preserve">Include carers and supported accommodation staff in discussion and that any Medicines Administration Record (MAR) charts </w:t>
                                          </w:r>
                                          <w:r w:rsidR="001579C6"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  <w:t xml:space="preserve">in use at the home </w:t>
                                          </w:r>
                                          <w:r w:rsidR="001579C6" w:rsidRPr="001579C6">
                                            <w:rPr>
                                              <w:rFonts w:asciiTheme="minorHAnsi" w:hAnsiTheme="minorHAnsi" w:cstheme="minorHAnsi"/>
                                              <w:color w:val="FF0000"/>
                                            </w:rPr>
                                            <w:t>are adjusted.</w:t>
                                          </w:r>
                                        </w:p>
                                        <w:p w:rsidR="006F1C9A" w:rsidRDefault="006F1C9A" w:rsidP="00ED2FF3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bCs/>
                                              <w:color w:val="000000"/>
                                            </w:rPr>
                                            <w:t xml:space="preserve">Care 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color w:val="000000"/>
                                            </w:rPr>
                                            <w:t>–</w:t>
                                          </w:r>
                                          <w:r w:rsidRPr="006F1C9A"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color w:val="000000"/>
                                            </w:rPr>
                                            <w:t>coordinators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color w:val="000000"/>
                                            </w:rPr>
                                            <w:t xml:space="preserve">: 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Ensure your patients prescribed clozapine liquid are </w:t>
                                          </w: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aware that their dose remains the same but the volume of liquid that they consume will change. 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 xml:space="preserve"> Include carers and supported accommodation staff in discussion.</w:t>
                                          </w:r>
                                        </w:p>
                                        <w:p w:rsidR="006F1C9A" w:rsidRPr="00ED2FF3" w:rsidRDefault="006F1C9A" w:rsidP="006F1C9A">
                                          <w:pPr>
                                            <w:pStyle w:val="NormalWeb"/>
                                            <w:spacing w:before="0" w:beforeAutospacing="0" w:after="0" w:afterAutospacing="0" w:line="315" w:lineRule="atLeast"/>
                                            <w:ind w:left="360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ED2FF3" w:rsidRPr="00ED2FF3" w:rsidRDefault="00ED2FF3" w:rsidP="001579C6">
                                          <w:pPr>
                                            <w:pStyle w:val="NormalWeb"/>
                                            <w:spacing w:before="0" w:beforeAutospacing="0" w:after="0" w:afterAutospacing="0" w:line="315" w:lineRule="atLeast"/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</w:pPr>
                                          <w:r w:rsidRPr="00ED2FF3"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lastRenderedPageBreak/>
                                            <w:t>For further information please contact your w</w:t>
                                          </w:r>
                                          <w:r>
                                            <w:rPr>
                                              <w:rFonts w:asciiTheme="minorHAnsi" w:hAnsiTheme="minorHAnsi" w:cstheme="minorHAnsi"/>
                                              <w:color w:val="000000"/>
                                            </w:rPr>
                                            <w:t>ard pharmacist or pharmacy team.</w:t>
                                          </w:r>
                                          <w:r w:rsidR="001579C6" w:rsidRPr="00ED2FF3">
                                            <w:rPr>
                                              <w:rFonts w:asciiTheme="minorHAnsi" w:hAnsiTheme="minorHAnsi" w:cstheme="minorHAnsi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t xml:space="preserve"> </w:t>
                                          </w:r>
                                          <w:r w:rsidR="001579C6" w:rsidRPr="00ED2FF3">
                                            <w:rPr>
                                              <w:rFonts w:asciiTheme="minorHAnsi" w:hAnsiTheme="minorHAnsi" w:cstheme="minorHAnsi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53802E5E" wp14:editId="777FB5B8">
                                                <wp:extent cx="5715000" cy="883920"/>
                                                <wp:effectExtent l="0" t="0" r="0" b="0"/>
                                                <wp:docPr id="3" name="Picture 3" descr="https://i.emlfiles4.com/cmpimg/4/5/4/5/8/files/3638215_greenstripsandlog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i.emlfiles4.com/cmpimg/4/5/4/5/8/files/3638215_greenstripsandlog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8839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72C66" w:rsidRPr="00ED2FF3" w:rsidRDefault="00872C66" w:rsidP="0078040E">
                                    <w:pPr>
                                      <w:pStyle w:val="NormalWeb"/>
                                      <w:spacing w:before="0" w:beforeAutospacing="0" w:after="0" w:afterAutospacing="0" w:line="315" w:lineRule="atLeast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513F" w:rsidRPr="00ED2FF3" w:rsidRDefault="0092513F">
                              <w:pPr>
                                <w:rPr>
                                  <w:rFonts w:cstheme="minorHAnsi"/>
                                  <w:vanish/>
                                </w:rPr>
                              </w:pPr>
                            </w:p>
                            <w:p w:rsidR="0092513F" w:rsidRPr="00ED2FF3" w:rsidRDefault="00ED2FF3" w:rsidP="001579C6">
                              <w:pPr>
                                <w:tabs>
                                  <w:tab w:val="left" w:pos="720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c>
                        </w:tr>
                      </w:tbl>
                      <w:p w:rsidR="0092513F" w:rsidRPr="00ED2FF3" w:rsidRDefault="0092513F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513F" w:rsidRPr="00ED2FF3" w:rsidRDefault="0092513F">
                  <w:pPr>
                    <w:rPr>
                      <w:rFonts w:cstheme="minorHAnsi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2513F" w:rsidRPr="00ED2FF3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92513F" w:rsidRPr="00ED2FF3" w:rsidRDefault="0092513F">
                        <w:pPr>
                          <w:spacing w:line="15" w:lineRule="atLeast"/>
                          <w:rPr>
                            <w:rFonts w:cstheme="minorHAnsi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2513F" w:rsidRPr="00ED2FF3" w:rsidRDefault="0092513F">
                  <w:pPr>
                    <w:rPr>
                      <w:rFonts w:cstheme="minorHAnsi"/>
                      <w:vanish/>
                    </w:rPr>
                  </w:pPr>
                </w:p>
                <w:p w:rsidR="0092513F" w:rsidRPr="00ED2FF3" w:rsidRDefault="0092513F">
                  <w:pPr>
                    <w:rPr>
                      <w:rFonts w:cstheme="minorHAnsi"/>
                      <w:vanish/>
                    </w:rPr>
                  </w:pPr>
                </w:p>
                <w:p w:rsidR="0092513F" w:rsidRPr="00ED2FF3" w:rsidRDefault="0092513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92513F" w:rsidRPr="00ED2FF3" w:rsidRDefault="0092513F">
            <w:pPr>
              <w:jc w:val="center"/>
              <w:rPr>
                <w:rFonts w:cstheme="minorHAnsi"/>
                <w:color w:val="212121"/>
                <w:sz w:val="23"/>
                <w:szCs w:val="23"/>
              </w:rPr>
            </w:pPr>
          </w:p>
        </w:tc>
      </w:tr>
    </w:tbl>
    <w:p w:rsidR="00D54E06" w:rsidRPr="00ED2FF3" w:rsidRDefault="0092513F" w:rsidP="0092513F">
      <w:pPr>
        <w:rPr>
          <w:rFonts w:cstheme="minorHAnsi"/>
        </w:rPr>
      </w:pPr>
      <w:r w:rsidRPr="00ED2FF3">
        <w:rPr>
          <w:rFonts w:cstheme="minorHAnsi"/>
          <w:noProof/>
          <w:lang w:eastAsia="en-GB"/>
        </w:rPr>
        <w:lastRenderedPageBreak/>
        <w:drawing>
          <wp:inline distT="0" distB="0" distL="0" distR="0" wp14:anchorId="28F60598" wp14:editId="014158A9">
            <wp:extent cx="7620" cy="7620"/>
            <wp:effectExtent l="0" t="0" r="0" b="0"/>
            <wp:docPr id="1" name="Picture 1" descr="https://technology-trust-news.org/1TXQ-5W9VS-TVN2M9/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chnology-trust-news.org/1TXQ-5W9VS-TVN2M9/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F3" w:rsidRPr="00ED2FF3" w:rsidRDefault="00ED2FF3">
      <w:pPr>
        <w:rPr>
          <w:rFonts w:cstheme="minorHAnsi"/>
        </w:rPr>
      </w:pPr>
    </w:p>
    <w:sectPr w:rsidR="00ED2FF3" w:rsidRPr="00ED2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D6" w:rsidRDefault="00804CD6" w:rsidP="001579C6">
      <w:pPr>
        <w:spacing w:after="0" w:line="240" w:lineRule="auto"/>
      </w:pPr>
      <w:r>
        <w:separator/>
      </w:r>
    </w:p>
  </w:endnote>
  <w:endnote w:type="continuationSeparator" w:id="0">
    <w:p w:rsidR="00804CD6" w:rsidRDefault="00804CD6" w:rsidP="0015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D6" w:rsidRDefault="00804CD6" w:rsidP="001579C6">
      <w:pPr>
        <w:spacing w:after="0" w:line="240" w:lineRule="auto"/>
      </w:pPr>
      <w:r>
        <w:separator/>
      </w:r>
    </w:p>
  </w:footnote>
  <w:footnote w:type="continuationSeparator" w:id="0">
    <w:p w:rsidR="00804CD6" w:rsidRDefault="00804CD6" w:rsidP="00157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5050C"/>
    <w:multiLevelType w:val="hybridMultilevel"/>
    <w:tmpl w:val="C7661A0C"/>
    <w:lvl w:ilvl="0" w:tplc="7EC27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06"/>
    <w:rsid w:val="001579C6"/>
    <w:rsid w:val="00605D90"/>
    <w:rsid w:val="006B3DD5"/>
    <w:rsid w:val="006F1C9A"/>
    <w:rsid w:val="0078040E"/>
    <w:rsid w:val="00804CD6"/>
    <w:rsid w:val="00872C66"/>
    <w:rsid w:val="0092513F"/>
    <w:rsid w:val="00A03D12"/>
    <w:rsid w:val="00D54E06"/>
    <w:rsid w:val="00DB53E8"/>
    <w:rsid w:val="00ED2FF3"/>
    <w:rsid w:val="00F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E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03D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C6"/>
  </w:style>
  <w:style w:type="paragraph" w:styleId="Footer">
    <w:name w:val="footer"/>
    <w:basedOn w:val="Normal"/>
    <w:link w:val="FooterChar"/>
    <w:uiPriority w:val="99"/>
    <w:unhideWhenUsed/>
    <w:rsid w:val="00157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E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03D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C6"/>
  </w:style>
  <w:style w:type="paragraph" w:styleId="Footer">
    <w:name w:val="footer"/>
    <w:basedOn w:val="Normal"/>
    <w:link w:val="FooterChar"/>
    <w:uiPriority w:val="99"/>
    <w:unhideWhenUsed/>
    <w:rsid w:val="00157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 Elaine</dc:creator>
  <cp:lastModifiedBy>Melville Jennifer</cp:lastModifiedBy>
  <cp:revision>3</cp:revision>
  <dcterms:created xsi:type="dcterms:W3CDTF">2018-11-27T14:15:00Z</dcterms:created>
  <dcterms:modified xsi:type="dcterms:W3CDTF">2018-11-27T14:23:00Z</dcterms:modified>
</cp:coreProperties>
</file>