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CE" w:rsidRDefault="008549CE" w:rsidP="008549CE">
      <w:pPr>
        <w:rPr>
          <w:rFonts w:ascii="Arial" w:hAnsi="Arial" w:cs="Arial"/>
          <w:b/>
          <w:u w:val="single"/>
        </w:rPr>
      </w:pPr>
      <w:r w:rsidRPr="008549CE">
        <w:rPr>
          <w:rFonts w:ascii="Arial" w:hAnsi="Arial" w:cs="Arial"/>
          <w:b/>
          <w:u w:val="single"/>
        </w:rPr>
        <w:t xml:space="preserve">Policy in a Nutshell </w:t>
      </w:r>
      <w:r w:rsidR="00C12CE0">
        <w:rPr>
          <w:rFonts w:ascii="Arial" w:hAnsi="Arial" w:cs="Arial"/>
          <w:b/>
          <w:u w:val="single"/>
        </w:rPr>
        <w:t xml:space="preserve">March </w:t>
      </w:r>
      <w:r w:rsidRPr="008549CE">
        <w:rPr>
          <w:rFonts w:ascii="Arial" w:hAnsi="Arial" w:cs="Arial"/>
          <w:b/>
          <w:u w:val="single"/>
        </w:rPr>
        <w:t>2022</w:t>
      </w:r>
    </w:p>
    <w:p w:rsidR="008549CE" w:rsidRPr="008549CE" w:rsidRDefault="008549CE" w:rsidP="008549CE">
      <w:pPr>
        <w:rPr>
          <w:rFonts w:ascii="Arial" w:hAnsi="Arial" w:cs="Arial"/>
          <w:b/>
          <w:u w:val="single"/>
        </w:rPr>
      </w:pPr>
    </w:p>
    <w:p w:rsidR="008549CE" w:rsidRPr="008549CE" w:rsidRDefault="008549CE" w:rsidP="008549CE">
      <w:pPr>
        <w:rPr>
          <w:rFonts w:ascii="Arial" w:hAnsi="Arial" w:cs="Arial"/>
        </w:rPr>
      </w:pPr>
      <w:r w:rsidRPr="008549CE">
        <w:rPr>
          <w:rFonts w:ascii="Arial" w:hAnsi="Arial" w:cs="Arial"/>
        </w:rPr>
        <w:t xml:space="preserve">The following policies have been recently reviewed by key leads, approved by the appropriate sponsor / specialist committee and ratified by the Quality Committee </w:t>
      </w:r>
    </w:p>
    <w:p w:rsidR="008549CE" w:rsidRDefault="008549CE" w:rsidP="008549CE">
      <w:pPr>
        <w:shd w:val="clear" w:color="auto" w:fill="FFFFFF"/>
        <w:spacing w:after="200" w:line="276" w:lineRule="auto"/>
        <w:rPr>
          <w:rFonts w:ascii="Arial" w:eastAsia="Calibri" w:hAnsi="Arial" w:cs="Arial"/>
          <w:b/>
          <w:u w:val="single"/>
        </w:rPr>
      </w:pPr>
    </w:p>
    <w:p w:rsidR="00C12CE0" w:rsidRPr="00C12CE0" w:rsidRDefault="00C12CE0" w:rsidP="00C12CE0">
      <w:pPr>
        <w:shd w:val="clear" w:color="auto" w:fill="FFFFFF"/>
        <w:spacing w:after="200" w:line="276" w:lineRule="auto"/>
        <w:rPr>
          <w:rFonts w:ascii="Arial" w:eastAsia="Calibri" w:hAnsi="Arial" w:cs="Arial"/>
          <w:b/>
        </w:rPr>
      </w:pPr>
      <w:r w:rsidRPr="00C12CE0">
        <w:rPr>
          <w:rFonts w:ascii="Arial" w:eastAsia="Calibri" w:hAnsi="Arial" w:cs="Arial"/>
          <w:b/>
        </w:rPr>
        <w:t>The Control of Substances Hazardous to Health (COSHH) Policy</w:t>
      </w:r>
    </w:p>
    <w:p w:rsidR="00C12CE0" w:rsidRPr="00C12CE0" w:rsidRDefault="00C12CE0" w:rsidP="00C12CE0">
      <w:pPr>
        <w:shd w:val="clear" w:color="auto" w:fill="FFFFFF"/>
        <w:spacing w:after="200" w:line="276" w:lineRule="auto"/>
        <w:rPr>
          <w:rFonts w:ascii="Arial" w:eastAsia="Calibri" w:hAnsi="Arial" w:cs="Arial"/>
        </w:rPr>
      </w:pPr>
      <w:r w:rsidRPr="00C12CE0">
        <w:rPr>
          <w:rFonts w:ascii="Arial" w:eastAsia="Calibri" w:hAnsi="Arial" w:cs="Arial"/>
        </w:rPr>
        <w:t>The Control of Substances Hazardous to Health (COSHH) Regulations require an employer to evaluate the risks to the health of their employees or others who might be exposed to substances hazardous to health (referred to hereafter for ease of understanding as hazardous substances) as a result of the employer’s work activities and to do everything that is reasonably practicable to prevent or control exposure to such substances. This policy demonstrates the Trust’s commitment to both discharging this general duty of care and complying with the specific requirements of these Regulations.</w:t>
      </w:r>
    </w:p>
    <w:p w:rsidR="00C12CE0" w:rsidRPr="00C12CE0" w:rsidRDefault="00C12CE0" w:rsidP="00C12CE0">
      <w:pPr>
        <w:shd w:val="clear" w:color="auto" w:fill="FFFFFF"/>
        <w:spacing w:after="200" w:line="276" w:lineRule="auto"/>
        <w:rPr>
          <w:rFonts w:ascii="Arial" w:eastAsia="Calibri" w:hAnsi="Arial" w:cs="Arial"/>
        </w:rPr>
      </w:pPr>
      <w:r w:rsidRPr="00C12CE0">
        <w:rPr>
          <w:rFonts w:ascii="Arial" w:eastAsia="Calibri" w:hAnsi="Arial" w:cs="Arial"/>
        </w:rPr>
        <w:t>The overall purpose of this policy is to describe how the Trust intends to identify and evaluate the health, safety and welfare related to risks associated with hazardous substances, and the arrangements through which it intends to either eliminate or reduce these to acceptable levels for all staff (any others) involved, in, or affected by, work activities either using or involving ‘exposure’ to such substances..</w:t>
      </w:r>
    </w:p>
    <w:p w:rsidR="00C12CE0" w:rsidRPr="00C12CE0" w:rsidRDefault="00C12CE0" w:rsidP="00C12CE0">
      <w:pPr>
        <w:shd w:val="clear" w:color="auto" w:fill="FFFFFF"/>
        <w:spacing w:after="200" w:line="276" w:lineRule="auto"/>
        <w:rPr>
          <w:rFonts w:ascii="Arial" w:eastAsia="Calibri" w:hAnsi="Arial" w:cs="Arial"/>
        </w:rPr>
      </w:pPr>
      <w:r w:rsidRPr="00C12CE0">
        <w:rPr>
          <w:rFonts w:ascii="Arial" w:eastAsia="Calibri" w:hAnsi="Arial" w:cs="Arial"/>
        </w:rPr>
        <w:t>This policy has been updated in line with the three yearly review process and the following changes made;</w:t>
      </w:r>
    </w:p>
    <w:p w:rsidR="00C12CE0" w:rsidRPr="00C12CE0" w:rsidRDefault="00C12CE0" w:rsidP="00C12CE0">
      <w:pPr>
        <w:numPr>
          <w:ilvl w:val="0"/>
          <w:numId w:val="4"/>
        </w:numPr>
        <w:shd w:val="clear" w:color="auto" w:fill="FFFFFF"/>
        <w:spacing w:after="200" w:line="276" w:lineRule="auto"/>
        <w:contextualSpacing/>
        <w:rPr>
          <w:rFonts w:ascii="Arial" w:eastAsia="Calibri" w:hAnsi="Arial" w:cs="Arial"/>
        </w:rPr>
      </w:pPr>
      <w:r w:rsidRPr="00C12CE0">
        <w:rPr>
          <w:rFonts w:ascii="Arial" w:eastAsia="Calibri" w:hAnsi="Arial" w:cs="Arial"/>
        </w:rPr>
        <w:t xml:space="preserve">Page 16 regrading of Health and Safety Audits </w:t>
      </w:r>
    </w:p>
    <w:p w:rsidR="00C12CE0" w:rsidRPr="00C12CE0" w:rsidRDefault="00C12CE0" w:rsidP="00C12CE0">
      <w:pPr>
        <w:numPr>
          <w:ilvl w:val="0"/>
          <w:numId w:val="4"/>
        </w:numPr>
        <w:shd w:val="clear" w:color="auto" w:fill="FFFFFF"/>
        <w:spacing w:after="200" w:line="276" w:lineRule="auto"/>
        <w:contextualSpacing/>
        <w:rPr>
          <w:rFonts w:ascii="Arial" w:eastAsia="Calibri" w:hAnsi="Arial" w:cs="Arial"/>
        </w:rPr>
      </w:pPr>
      <w:r w:rsidRPr="00C12CE0">
        <w:rPr>
          <w:rFonts w:ascii="Arial" w:eastAsia="Calibri" w:hAnsi="Arial" w:cs="Arial"/>
        </w:rPr>
        <w:t xml:space="preserve">Waste Disposal section updated </w:t>
      </w:r>
    </w:p>
    <w:p w:rsidR="00C12CE0" w:rsidRPr="00C12CE0" w:rsidRDefault="00C12CE0" w:rsidP="00C12CE0">
      <w:pPr>
        <w:shd w:val="clear" w:color="auto" w:fill="FFFFFF"/>
        <w:spacing w:after="200" w:line="276" w:lineRule="auto"/>
        <w:rPr>
          <w:rFonts w:ascii="Arial" w:eastAsia="Calibri" w:hAnsi="Arial" w:cs="Arial"/>
        </w:rPr>
      </w:pPr>
    </w:p>
    <w:p w:rsidR="00C12CE0" w:rsidRPr="00C12CE0" w:rsidRDefault="00C12CE0" w:rsidP="00C12CE0">
      <w:pPr>
        <w:shd w:val="clear" w:color="auto" w:fill="FFFFFF"/>
        <w:spacing w:after="200" w:line="276" w:lineRule="auto"/>
        <w:rPr>
          <w:rFonts w:ascii="Arial" w:eastAsia="Calibri" w:hAnsi="Arial" w:cs="Arial"/>
          <w:b/>
        </w:rPr>
      </w:pPr>
      <w:r w:rsidRPr="00C12CE0">
        <w:rPr>
          <w:rFonts w:ascii="Arial" w:eastAsia="Calibri" w:hAnsi="Arial" w:cs="Arial"/>
          <w:b/>
        </w:rPr>
        <w:t>Fuel Shortage Plan</w:t>
      </w:r>
    </w:p>
    <w:p w:rsidR="00C12CE0" w:rsidRPr="00C12CE0" w:rsidRDefault="00C12CE0" w:rsidP="00C12CE0">
      <w:pPr>
        <w:shd w:val="clear" w:color="auto" w:fill="FFFFFF"/>
        <w:spacing w:after="200" w:line="276" w:lineRule="auto"/>
        <w:rPr>
          <w:rFonts w:ascii="Arial" w:eastAsia="Calibri" w:hAnsi="Arial" w:cs="Arial"/>
        </w:rPr>
      </w:pPr>
      <w:r w:rsidRPr="00C12CE0">
        <w:rPr>
          <w:rFonts w:ascii="Arial" w:eastAsia="Calibri" w:hAnsi="Arial" w:cs="Arial"/>
        </w:rPr>
        <w:t>This plan is intended to assist the Trust in planning for and managing the consequences of a disruption to fuel supplies in the UK so that care to the communities the Trust serves can continue to be offered.</w:t>
      </w:r>
    </w:p>
    <w:p w:rsidR="00C12CE0" w:rsidRPr="00C12CE0" w:rsidRDefault="00C12CE0" w:rsidP="00C12CE0">
      <w:pPr>
        <w:spacing w:after="200" w:line="276" w:lineRule="auto"/>
        <w:rPr>
          <w:rFonts w:ascii="Arial" w:eastAsia="Calibri" w:hAnsi="Arial" w:cs="Arial"/>
          <w:bCs/>
          <w:iCs/>
          <w:kern w:val="32"/>
        </w:rPr>
      </w:pPr>
      <w:r w:rsidRPr="00C12CE0">
        <w:rPr>
          <w:rFonts w:ascii="Arial" w:eastAsia="Calibri" w:hAnsi="Arial" w:cs="Arial"/>
          <w:bCs/>
          <w:iCs/>
          <w:kern w:val="32"/>
        </w:rPr>
        <w:t xml:space="preserve">The objectives of this plan are to </w:t>
      </w:r>
    </w:p>
    <w:p w:rsidR="00C12CE0" w:rsidRPr="00C12CE0" w:rsidRDefault="00C12CE0" w:rsidP="00C12CE0">
      <w:pPr>
        <w:numPr>
          <w:ilvl w:val="0"/>
          <w:numId w:val="6"/>
        </w:numPr>
        <w:spacing w:after="200" w:line="276" w:lineRule="auto"/>
        <w:rPr>
          <w:rFonts w:ascii="Arial" w:eastAsia="Calibri" w:hAnsi="Arial" w:cs="Arial"/>
          <w:bCs/>
          <w:iCs/>
          <w:kern w:val="32"/>
        </w:rPr>
      </w:pPr>
      <w:r w:rsidRPr="00C12CE0">
        <w:rPr>
          <w:rFonts w:ascii="Arial" w:eastAsia="Calibri" w:hAnsi="Arial" w:cs="Arial"/>
          <w:bCs/>
          <w:iCs/>
          <w:kern w:val="32"/>
        </w:rPr>
        <w:t>Set out the responsibilities for planning for a period of disruption of fuel supply</w:t>
      </w:r>
    </w:p>
    <w:p w:rsidR="00C12CE0" w:rsidRPr="00C12CE0" w:rsidRDefault="00C12CE0" w:rsidP="00C12CE0">
      <w:pPr>
        <w:numPr>
          <w:ilvl w:val="0"/>
          <w:numId w:val="6"/>
        </w:numPr>
        <w:spacing w:after="200" w:line="276" w:lineRule="auto"/>
        <w:rPr>
          <w:rFonts w:ascii="Arial" w:eastAsia="Calibri" w:hAnsi="Arial" w:cs="Arial"/>
          <w:bCs/>
          <w:iCs/>
          <w:kern w:val="32"/>
        </w:rPr>
      </w:pPr>
      <w:r w:rsidRPr="00C12CE0">
        <w:rPr>
          <w:rFonts w:ascii="Arial" w:eastAsia="Calibri" w:hAnsi="Arial" w:cs="Arial"/>
          <w:bCs/>
          <w:iCs/>
          <w:kern w:val="32"/>
        </w:rPr>
        <w:t>Set out the responsibilities of managing a period of disruption of supply</w:t>
      </w:r>
    </w:p>
    <w:p w:rsidR="00C12CE0" w:rsidRPr="00C12CE0" w:rsidRDefault="00C12CE0" w:rsidP="00C12CE0">
      <w:pPr>
        <w:numPr>
          <w:ilvl w:val="0"/>
          <w:numId w:val="6"/>
        </w:numPr>
        <w:spacing w:after="200" w:line="276" w:lineRule="auto"/>
        <w:rPr>
          <w:rFonts w:ascii="Arial" w:eastAsia="Calibri" w:hAnsi="Arial" w:cs="Arial"/>
          <w:b/>
          <w:bCs/>
          <w:iCs/>
          <w:kern w:val="32"/>
        </w:rPr>
      </w:pPr>
      <w:r w:rsidRPr="00C12CE0">
        <w:rPr>
          <w:rFonts w:ascii="Arial" w:eastAsia="Calibri" w:hAnsi="Arial" w:cs="Arial"/>
          <w:bCs/>
          <w:iCs/>
          <w:kern w:val="32"/>
        </w:rPr>
        <w:t>Set out how to plan for a period of disruption of fuel</w:t>
      </w:r>
    </w:p>
    <w:p w:rsidR="00C12CE0" w:rsidRPr="00C12CE0" w:rsidRDefault="00C12CE0" w:rsidP="00C12CE0">
      <w:pPr>
        <w:numPr>
          <w:ilvl w:val="0"/>
          <w:numId w:val="6"/>
        </w:numPr>
        <w:spacing w:after="200" w:line="276" w:lineRule="auto"/>
        <w:rPr>
          <w:rFonts w:ascii="Arial" w:eastAsia="Calibri" w:hAnsi="Arial" w:cs="Arial"/>
          <w:b/>
          <w:bCs/>
          <w:iCs/>
          <w:kern w:val="32"/>
        </w:rPr>
      </w:pPr>
      <w:r w:rsidRPr="00C12CE0">
        <w:rPr>
          <w:rFonts w:ascii="Arial" w:eastAsia="Calibri" w:hAnsi="Arial" w:cs="Arial"/>
          <w:bCs/>
          <w:iCs/>
          <w:kern w:val="32"/>
        </w:rPr>
        <w:t>Set out the arrangements during a significant short term period of disruption of fuel</w:t>
      </w:r>
    </w:p>
    <w:p w:rsidR="00C12CE0" w:rsidRPr="00C12CE0" w:rsidRDefault="00C12CE0" w:rsidP="00C12CE0">
      <w:pPr>
        <w:shd w:val="clear" w:color="auto" w:fill="FFFFFF"/>
        <w:spacing w:after="200" w:line="276" w:lineRule="auto"/>
        <w:rPr>
          <w:rFonts w:ascii="Arial" w:eastAsia="Calibri" w:hAnsi="Arial" w:cs="Arial"/>
        </w:rPr>
      </w:pPr>
      <w:r w:rsidRPr="00C12CE0">
        <w:rPr>
          <w:rFonts w:ascii="Arial" w:eastAsia="Calibri" w:hAnsi="Arial" w:cs="Arial"/>
        </w:rPr>
        <w:t xml:space="preserve">This plan has been reviewed and remains fit for purpose; no changes have been made </w:t>
      </w:r>
    </w:p>
    <w:p w:rsidR="00C12CE0" w:rsidRPr="00C12CE0" w:rsidRDefault="00C12CE0" w:rsidP="00C12CE0">
      <w:pPr>
        <w:shd w:val="clear" w:color="auto" w:fill="FFFFFF"/>
        <w:spacing w:after="200" w:line="276" w:lineRule="auto"/>
        <w:rPr>
          <w:rFonts w:ascii="Arial" w:eastAsia="Calibri" w:hAnsi="Arial" w:cs="Arial"/>
        </w:rPr>
      </w:pPr>
    </w:p>
    <w:p w:rsidR="00C12CE0" w:rsidRPr="00C12CE0" w:rsidRDefault="00C12CE0" w:rsidP="00C12CE0">
      <w:pPr>
        <w:spacing w:after="200" w:line="276" w:lineRule="auto"/>
        <w:rPr>
          <w:rFonts w:ascii="Arial" w:eastAsia="Calibri" w:hAnsi="Arial" w:cs="Arial"/>
        </w:rPr>
      </w:pPr>
    </w:p>
    <w:p w:rsidR="00C12CE0" w:rsidRPr="00C12CE0" w:rsidRDefault="00C12CE0" w:rsidP="00C12CE0">
      <w:pPr>
        <w:spacing w:after="200" w:line="276" w:lineRule="auto"/>
        <w:rPr>
          <w:rFonts w:ascii="Arial" w:eastAsia="Calibri" w:hAnsi="Arial" w:cs="Arial"/>
          <w:b/>
          <w:u w:val="single"/>
        </w:rPr>
      </w:pPr>
      <w:r w:rsidRPr="00C12CE0">
        <w:rPr>
          <w:rFonts w:ascii="Arial" w:eastAsia="Calibri" w:hAnsi="Arial" w:cs="Arial"/>
          <w:b/>
          <w:u w:val="single"/>
        </w:rPr>
        <w:lastRenderedPageBreak/>
        <w:t xml:space="preserve">Update to existing Policies </w:t>
      </w:r>
      <w:r w:rsidR="00FD686A">
        <w:rPr>
          <w:rFonts w:ascii="Arial" w:eastAsia="Calibri" w:hAnsi="Arial" w:cs="Arial"/>
          <w:b/>
          <w:u w:val="single"/>
        </w:rPr>
        <w:t xml:space="preserve">(outside of the 3 yearly review process) </w:t>
      </w:r>
    </w:p>
    <w:p w:rsidR="00FD686A" w:rsidRDefault="00FD686A" w:rsidP="00C12CE0">
      <w:pPr>
        <w:spacing w:after="200" w:line="276" w:lineRule="auto"/>
        <w:rPr>
          <w:rFonts w:ascii="Arial" w:eastAsia="Calibri" w:hAnsi="Arial" w:cs="Arial"/>
          <w:b/>
        </w:rPr>
      </w:pPr>
    </w:p>
    <w:p w:rsidR="00C12CE0" w:rsidRPr="00C12CE0" w:rsidRDefault="00C12CE0" w:rsidP="00C12CE0">
      <w:pPr>
        <w:spacing w:after="200" w:line="276" w:lineRule="auto"/>
        <w:rPr>
          <w:rFonts w:ascii="Arial" w:eastAsia="Calibri" w:hAnsi="Arial" w:cs="Arial"/>
          <w:b/>
        </w:rPr>
      </w:pPr>
      <w:proofErr w:type="spellStart"/>
      <w:r w:rsidRPr="00C12CE0">
        <w:rPr>
          <w:rFonts w:ascii="Arial" w:eastAsia="Calibri" w:hAnsi="Arial" w:cs="Arial"/>
          <w:b/>
        </w:rPr>
        <w:t>Covid</w:t>
      </w:r>
      <w:proofErr w:type="spellEnd"/>
      <w:r w:rsidRPr="00C12CE0">
        <w:rPr>
          <w:rFonts w:ascii="Arial" w:eastAsia="Calibri" w:hAnsi="Arial" w:cs="Arial"/>
          <w:b/>
        </w:rPr>
        <w:t xml:space="preserve"> 19 Policy.</w:t>
      </w:r>
    </w:p>
    <w:p w:rsidR="00C12CE0" w:rsidRPr="00C12CE0" w:rsidRDefault="00C12CE0" w:rsidP="00C12CE0">
      <w:pPr>
        <w:spacing w:after="200" w:line="276" w:lineRule="auto"/>
        <w:rPr>
          <w:rFonts w:ascii="Arial" w:eastAsia="Calibri" w:hAnsi="Arial" w:cs="Arial"/>
        </w:rPr>
      </w:pPr>
      <w:r w:rsidRPr="00C12CE0">
        <w:rPr>
          <w:rFonts w:ascii="Arial" w:eastAsia="Calibri" w:hAnsi="Arial" w:cs="Arial"/>
        </w:rPr>
        <w:t xml:space="preserve">This existing policy has been updated with staff and service users contact tracing charts (appendices 24 &amp; 27) on 11/03/22. </w:t>
      </w:r>
    </w:p>
    <w:p w:rsidR="00FD686A" w:rsidRDefault="00FD686A" w:rsidP="00C12CE0">
      <w:pPr>
        <w:spacing w:after="200" w:line="276" w:lineRule="auto"/>
        <w:rPr>
          <w:rFonts w:ascii="Arial" w:eastAsia="Calibri" w:hAnsi="Arial" w:cs="Arial"/>
          <w:b/>
        </w:rPr>
      </w:pPr>
    </w:p>
    <w:p w:rsidR="00C12CE0" w:rsidRPr="00C12CE0" w:rsidRDefault="00C12CE0" w:rsidP="00C12CE0">
      <w:pPr>
        <w:spacing w:after="200" w:line="276" w:lineRule="auto"/>
        <w:rPr>
          <w:rFonts w:ascii="Arial" w:eastAsia="Calibri" w:hAnsi="Arial" w:cs="Arial"/>
          <w:b/>
        </w:rPr>
      </w:pPr>
      <w:bookmarkStart w:id="0" w:name="_GoBack"/>
      <w:bookmarkEnd w:id="0"/>
      <w:r w:rsidRPr="00C12CE0">
        <w:rPr>
          <w:rFonts w:ascii="Arial" w:eastAsia="Calibri" w:hAnsi="Arial" w:cs="Arial"/>
          <w:b/>
        </w:rPr>
        <w:t xml:space="preserve">Risk Management Framework </w:t>
      </w:r>
    </w:p>
    <w:p w:rsidR="00C12CE0" w:rsidRPr="00C12CE0" w:rsidRDefault="00C12CE0" w:rsidP="00C12CE0">
      <w:pPr>
        <w:spacing w:after="200" w:line="276" w:lineRule="auto"/>
        <w:rPr>
          <w:rFonts w:ascii="Arial" w:eastAsia="Calibri" w:hAnsi="Arial" w:cs="Arial"/>
        </w:rPr>
      </w:pPr>
      <w:r w:rsidRPr="00C12CE0">
        <w:rPr>
          <w:rFonts w:ascii="Arial" w:eastAsia="Calibri" w:hAnsi="Arial" w:cs="Arial"/>
        </w:rPr>
        <w:t xml:space="preserve">The Risk Management Framework has been updated to ensure compliance with the </w:t>
      </w:r>
      <w:r w:rsidRPr="00C12CE0">
        <w:rPr>
          <w:rFonts w:ascii="Arial" w:eastAsia="Calibri" w:hAnsi="Arial" w:cs="Arial"/>
          <w:i/>
          <w:iCs/>
        </w:rPr>
        <w:t xml:space="preserve">Government Counter Fraud Profession (GCFP) fraud risk assessment methodology </w:t>
      </w:r>
      <w:r w:rsidRPr="00C12CE0">
        <w:rPr>
          <w:rFonts w:ascii="Arial" w:eastAsia="Calibri" w:hAnsi="Arial" w:cs="Arial"/>
          <w:iCs/>
        </w:rPr>
        <w:t>with the following short paragraph as follows;</w:t>
      </w:r>
    </w:p>
    <w:p w:rsidR="00C12CE0" w:rsidRPr="00C12CE0" w:rsidRDefault="00C12CE0" w:rsidP="00C12CE0">
      <w:pPr>
        <w:spacing w:after="200" w:line="276" w:lineRule="auto"/>
        <w:rPr>
          <w:rFonts w:ascii="Arial" w:eastAsia="Calibri" w:hAnsi="Arial" w:cs="Arial"/>
        </w:rPr>
      </w:pPr>
      <w:r w:rsidRPr="00C12CE0">
        <w:rPr>
          <w:rFonts w:ascii="Arial" w:eastAsia="Calibri" w:hAnsi="Arial" w:cs="Arial"/>
        </w:rPr>
        <w:t>Fraud and bribery risks will be managed in line with the Government Counter Fraud Profession (GCFP) fraud risk assessment methodology, but the Trust’s risk scoring matrix will be used to assess risks. An appropriate fraud risk assessment template will be used.  Fraud and bribery risks will be recorded on one central Fraud Risk Assessment maintained by the Counter Fraud Team’</w:t>
      </w:r>
    </w:p>
    <w:p w:rsidR="006334CF" w:rsidRDefault="00FD686A"/>
    <w:p w:rsidR="008549CE" w:rsidRDefault="008549CE"/>
    <w:p w:rsidR="008549CE" w:rsidRDefault="008549CE">
      <w:r>
        <w:t xml:space="preserve">Joanne Sims </w:t>
      </w:r>
    </w:p>
    <w:p w:rsidR="008549CE" w:rsidRDefault="008549CE">
      <w:r>
        <w:t xml:space="preserve">Risk and Datix Manager </w:t>
      </w:r>
    </w:p>
    <w:p w:rsidR="008549CE" w:rsidRDefault="00C12CE0">
      <w:r>
        <w:t>29</w:t>
      </w:r>
      <w:r w:rsidR="008549CE">
        <w:t xml:space="preserve"> March 2022</w:t>
      </w:r>
    </w:p>
    <w:sectPr w:rsidR="00854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A23"/>
    <w:multiLevelType w:val="hybridMultilevel"/>
    <w:tmpl w:val="8168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61DA6"/>
    <w:multiLevelType w:val="hybridMultilevel"/>
    <w:tmpl w:val="EC7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E36"/>
    <w:multiLevelType w:val="hybridMultilevel"/>
    <w:tmpl w:val="49E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658D7"/>
    <w:multiLevelType w:val="hybridMultilevel"/>
    <w:tmpl w:val="F410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7584A"/>
    <w:multiLevelType w:val="hybridMultilevel"/>
    <w:tmpl w:val="8BBA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2345A"/>
    <w:multiLevelType w:val="hybridMultilevel"/>
    <w:tmpl w:val="44B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CE"/>
    <w:rsid w:val="00345E12"/>
    <w:rsid w:val="007449C6"/>
    <w:rsid w:val="008549CE"/>
    <w:rsid w:val="00C12CE0"/>
    <w:rsid w:val="00FD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1210"/>
  <w15:chartTrackingRefBased/>
  <w15:docId w15:val="{FC2833DF-C210-4743-9FB3-E436A6F7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Joanne</dc:creator>
  <cp:keywords/>
  <dc:description/>
  <cp:lastModifiedBy>Sims Joanne</cp:lastModifiedBy>
  <cp:revision>2</cp:revision>
  <dcterms:created xsi:type="dcterms:W3CDTF">2022-03-08T11:09:00Z</dcterms:created>
  <dcterms:modified xsi:type="dcterms:W3CDTF">2022-03-29T10:19:00Z</dcterms:modified>
</cp:coreProperties>
</file>